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18" w:name="教学设计-老舍我的母亲两课时"/>
    <w:p>
      <w:pPr>
        <w:pStyle w:val="Heading1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教学设计</w:t>
      </w:r>
      <w:r>
        <w:rPr>
          <w:rFonts w:ascii="Times New Roman" w:hAnsi="Times New Roman" w:eastAsia="宋体" w:cs="Times New Roman"/>
          <w:b/>
          <w:i w:val="0"/>
          <w:color w:val="000000"/>
          <w:sz w:val="28"/>
        </w:rPr>
        <w:t xml:space="preserve"> · </w:t>
      </w: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老舍《我的母亲》（两课时）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AI技术赋能中职课程教学资源开发与应用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第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3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节演示产物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STEP 1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五件套提示词生成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·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教师把关后定稿</w:t>
      </w:r>
    </w:p>
    <w:bookmarkStart w:id="9" w:name="一教材与学情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一、教材与学情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课文：老舍《我的母亲》，高等教育出版社中职语文基础模块上册（国家规划新教材）。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学情：中职一年级（学前教育专业），16-17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岁；阅读尚可、写作薄弱；喜欢短视频、课堂发言不积极；多数学生第一次系统学习写人记事散文的品读方法。</w:t>
      </w:r>
    </w:p>
    <w:bookmarkEnd w:id="9"/>
    <w:bookmarkStart w:id="10" w:name="二教学目标对齐学科核心素养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二、教学目标（对齐学科核心素养）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语言理解与运用：品读口语化、方言词的表达效果，积累”出阁、殷勤、撮土”等词语。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思维发展与提升：梳理文章以时间为序、以小事写人的结构，理解”细节描写中的感情”。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审美发现与鉴赏：体会朴素语言背后深沉的母爱。</w:t>
      </w:r>
    </w:p>
    <w:p>
      <w:pPr>
        <w:pStyle w:val="Compact"/>
        <w:numPr>
          <w:ilvl w:val="0"/>
          <w:numId w:val="1001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文化传承与参与：理解”我的真正的教师，把性格传给我的，是我的母亲”一句的分量。</w:t>
      </w:r>
    </w:p>
    <w:bookmarkEnd w:id="10"/>
    <w:bookmarkStart w:id="11" w:name="三重点难点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三、重点难点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重点：口语化方言词的表达效果（如”晓得”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“敷衍”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“当”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等词的口语色彩与情感温度）。</w:t>
      </w:r>
    </w:p>
    <w:p>
      <w:pPr>
        <w:pStyle w:val="BodyText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难点：细节描写中的感情——不直接抒情而情感深挚的写法（母亲的泪、三妹出嫁时母亲的反应等细节）。</w:t>
      </w:r>
    </w:p>
    <w:bookmarkEnd w:id="11"/>
    <w:bookmarkStart w:id="14" w:name="四教学过程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四、教学过程</w:t>
      </w:r>
    </w:p>
    <w:bookmarkStart w:id="12" w:name="第一课时"/>
    <w:p>
      <w:pPr>
        <w:pStyle w:val="Heading3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第一课时</w:t>
      </w:r>
    </w:p>
    <w:tbl>
      <w:tblPr>
        <w:tblStyle w:val="Table"/>
        <w:tblW w:type="dxa" w:w="8306"/>
        <w:jc w:val="center"/>
        <w:tblLook w:firstRow="1" w:lastRow="0" w:firstColumn="0" w:lastColumn="0" w:noHBand="0" w:noVBand="0" w:val="002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76"/>
        <w:gridCol w:w="2076"/>
        <w:gridCol w:w="2076"/>
        <w:gridCol w:w="2078"/>
      </w:tblGrid>
      <w:tr>
        <w:trPr>
          <w:tblHeader w:val="on"/>
        </w:trP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环节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教师活动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学生活动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时间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导入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播放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30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秒短视频：学生婴儿照与母亲今昔对比；提问”用一句话形容你印象中的妈妈”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观看、自由发言（1-2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人）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感知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布置快速阅读任务：文章按什么顺序写了母亲的哪些事？给出时间轴模板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快速默读，圈画时间词与事件，完成时间轴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15’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研读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抛出核心问题一：母亲的”出格”与”不出格”分别体现在哪里？引导从文本找证据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小组讨论（4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人），代表汇报，全班补充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20’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小结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引导学生用一句话概括”这是一个____的母亲”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各自写一句话，随机分享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作业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预习任务：圈画文中你认为最有感情的”细节”，下节课交流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记录任务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2’</w:t>
            </w:r>
          </w:p>
        </w:tc>
      </w:tr>
    </w:tbl>
    <w:bookmarkEnd w:id="12"/>
    <w:bookmarkStart w:id="13" w:name="第二课时"/>
    <w:p>
      <w:pPr>
        <w:pStyle w:val="Heading3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第二课时</w:t>
      </w:r>
    </w:p>
    <w:tbl>
      <w:tblPr>
        <w:tblStyle w:val="Table"/>
        <w:tblW w:type="dxa" w:w="8306"/>
        <w:jc w:val="center"/>
        <w:tblLook w:firstRow="1" w:lastRow="0" w:firstColumn="0" w:lastColumn="0" w:noHBand="0" w:noVBand="0" w:val="0020"/>
        <w:tblLayout w:type="fixed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2076"/>
        <w:gridCol w:w="2076"/>
        <w:gridCol w:w="2076"/>
        <w:gridCol w:w="2078"/>
      </w:tblGrid>
      <w:tr>
        <w:trPr>
          <w:tblHeader w:val="on"/>
        </w:trP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环节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教师活动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学生活动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center"/>
            </w:pPr>
            <w:r>
              <w:rPr>
                <w:rFonts w:hint="eastAsia" w:ascii="Times New Roman" w:hAnsi="Times New Roman" w:eastAsia="宋体" w:cs="Times New Roman"/>
                <w:b/>
                <w:i w:val="0"/>
                <w:color w:val="000000"/>
                <w:sz w:val="21"/>
              </w:rPr>
              <w:t xml:space="preserve">时间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复习导入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听写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5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个上节课词语；回顾时间轴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听写、互批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研读（核心）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核心问题二：作者为什么不直接说”母亲很爱我”，而写”她一世未曾享过一天福”这样的句子？聚焦口语方言词品读活动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品读活动：小组认领一个方言词（如”晓得”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“当”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“敷敷衍衍”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），从情感温度、口语色彩、朗读效果三个角度品读汇报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20’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拓展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迁移：从课文中学习”以小事写人”的方法；布置微写作支架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微写作：用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150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字写一个你亲人的细节（不出现”爱”字）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12’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小结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回扣”我的真正的教师”一句，升华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齐读末段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5’</w:t>
            </w:r>
          </w:p>
        </w:tc>
      </w:tr>
      <w:tr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作业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分层作业（见</w:t>
            </w: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 STEP </w:t>
            </w: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4）</w:t>
            </w:r>
          </w:p>
        </w:tc>
        <w:tc>
          <w:tcPr>
            <w:tcW w:type="dxa" w:w="2076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hint="eastAsia"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记录</w:t>
            </w:r>
          </w:p>
        </w:tc>
        <w:tc>
          <w:tcPr>
            <w:tcW w:type="dxa" w:w="2078"/>
          </w:tcPr>
          <w:p>
            <w:pPr>
              <w:pStyle w:val="Compact"/>
              <w:spacing w:beforeLines="0" w:afterLines="0" w:line="276" w:lineRule="auto" w:before="0" w:after="0"/>
              <w:jc w:val="left"/>
            </w:pPr>
            <w:r>
              <w:rPr>
                <w:rFonts w:ascii="Times New Roman" w:hAnsi="Times New Roman" w:eastAsia="宋体" w:cs="Times New Roman"/>
                <w:b w:val="0"/>
                <w:i w:val="0"/>
                <w:color w:val="000000"/>
                <w:sz w:val="21"/>
              </w:rPr>
              <w:t xml:space="preserve">3’</w:t>
            </w:r>
          </w:p>
        </w:tc>
      </w:tr>
    </w:tbl>
    <w:bookmarkEnd w:id="13"/>
    <w:bookmarkEnd w:id="14"/>
    <w:bookmarkStart w:id="15" w:name="五课堂提问设计由浅入深标注思维层级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五、课堂提问设计（由浅入深，标注思维层级）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文章写了母亲哪几件事？按什么顺序？（识记）(第一课时研读前)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“出阁”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是什么意思？从上下文猜猜。（理解）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母亲的”软而硬”性格体现在哪几件事上？（分析）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作者写”她给我的是生命的教育”，结合具体细节说说你的理解。（分析/评价）</w:t>
      </w:r>
    </w:p>
    <w:p>
      <w:pPr>
        <w:pStyle w:val="Compact"/>
        <w:numPr>
          <w:ilvl w:val="0"/>
          <w:numId w:val="1002"/>
        </w:numPr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你生活里有没有一个”从未说过爱却全是爱”的长辈细节？说出来。（迁移/创造）</w:t>
      </w:r>
    </w:p>
    <w:bookmarkEnd w:id="15"/>
    <w:bookmarkStart w:id="16" w:name="六板书设计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六、板书设计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中心词”母亲”，左侧时间轴（出嫁—生我—父亲死—上学—三姐出嫁—除夕），右侧关键词（软而硬·生命的教育）。</w:t>
      </w:r>
    </w:p>
    <w:bookmarkEnd w:id="16"/>
    <w:bookmarkStart w:id="17" w:name="七生成说明"/>
    <w:p>
      <w:pPr>
        <w:pStyle w:val="Heading2"/>
        <w:jc w:val="left"/>
        <w:spacing w:beforeLines="50" w:afterLines="0" w:line="360" w:lineRule="auto" w:before="120" w:after="0"/>
      </w:pPr>
      <w:r>
        <w:rPr>
          <w:rFonts w:hint="eastAsia" w:ascii="Times New Roman" w:hAnsi="Times New Roman" w:eastAsia="宋体" w:cs="Times New Roman"/>
          <w:b/>
          <w:i w:val="0"/>
          <w:color w:val="000000"/>
          <w:sz w:val="28"/>
        </w:rPr>
        <w:t xml:space="preserve">七、生成说明</w:t>
      </w:r>
    </w:p>
    <w:p>
      <w:pPr>
        <w:pStyle w:val="FirstParagraph"/>
        <w:ind w:firstLineChars="200" w:firstLine="480"/>
        <w:spacing w:beforeLines="50" w:afterLines="0" w:line="360" w:lineRule="auto" w:before="120" w:after="0"/>
        <w:jc w:val="both"/>
      </w:pP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本文档由</w:t>
      </w:r>
      <w:r>
        <w:rPr>
          <w:rFonts w:ascii="Times New Roman" w:hAnsi="Times New Roman" w:eastAsia="宋体" w:cs="Times New Roman"/>
          <w:i w:val="0"/>
          <w:color w:val="000000"/>
          <w:sz w:val="24"/>
        </w:rPr>
        <w:t xml:space="preserve"> </w:t>
      </w:r>
      <w:r>
        <w:rPr>
          <w:rFonts w:hint="eastAsia" w:ascii="Times New Roman" w:hAnsi="Times New Roman" w:eastAsia="宋体" w:cs="Times New Roman"/>
          <w:i w:val="0"/>
          <w:color w:val="000000"/>
          <w:sz w:val="24"/>
        </w:rPr>
        <w:t xml:space="preserve">AI（五件套提示词）生成初稿，教师按”语文课三查”（生僻字读音、作者生平、引文原文）逐项核对后定稿。课堂使用前请再对照您所用教材版次核对引文。</w:t>
      </w:r>
    </w:p>
    <w:bookmarkEnd w:id="17"/>
    <w:bookmarkEnd w:id="18"/>
    <w:sectPr>
      <w:footerReference w:type="default" r:id="rId9"/>
      <w:footnotePr>
        <w:numRestart w:val="eachSect"/>
      </w:footnotePr>
      <w:pgSz w:w="11906" w:h="16838"/>
      <w:pgMar w:top="1440" w:bottom="1440" w:left="1800" w:right="1800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宋体" w:cs="Times New Roman"/>
        <w:color w:val="000000"/>
        <w:sz w:val="21"/>
      </w:rPr>
      <w:fldChar w:fldCharType="begin"/>
    </w:r>
    <w:r>
      <w:rPr>
        <w:rFonts w:ascii="Times New Roman" w:hAnsi="Times New Roman" w:eastAsia="宋体" w:cs="Times New Roman"/>
        <w:color w:val="000000"/>
        <w:sz w:val="21"/>
      </w:rPr>
      <w:instrText xml:space="preserve"> PAGE </w:instrText>
    </w:r>
    <w:r>
      <w:rPr>
        <w:rFonts w:ascii="Times New Roman" w:hAnsi="Times New Roman" w:eastAsia="宋体" w:cs="Times New Roman"/>
        <w:color w:val="000000"/>
        <w:sz w:val="21"/>
      </w:rPr>
      <w:fldChar w:fldCharType="end"/>
    </w:r>
  </w:p>
</w:ftr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  <w:pPr>
      <w:spacing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customStyle="1" w:styleId="Compact" w:type="paragraph">
    <w:name w:val="Compact"/>
    <w:basedOn w:val="BodyText"/>
    <w:qFormat/>
    <w:pPr>
      <w:spacing w:after="36" w:before="36" w:beforeLines="50" w:afterLines="0" w:line="360" w:lineRule="auto"/>
      <w:jc w:val="both"/>
    </w:pPr>
    <w:rPr>
      <w:rFonts w:ascii="Times New Roman" w:hAnsi="Times New Roman" w:eastAsia="宋体" w:cs="Times New Roman"/>
      <w:b w:val="0"/>
      <w:i w:val="0"/>
      <w:color w:val="000000"/>
      <w:sz w:val="24"/>
    </w:r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 w:beforeLines="50" w:afterLines="0" w:line="360" w:lineRule="auto"/>
      <w:outlineLvl w:val="0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1"/>
      <w:jc w:val="left"/>
    </w:pPr>
    <w:rPr>
      <w:rFonts w:asciiTheme="majorHAnsi" w:cstheme="majorBidi" w:eastAsiaTheme="majorEastAsia" w:hAnsiTheme="majorHAnsi" w:ascii="Times New Roman" w:hAnsi="Times New Roman" w:eastAsia="宋体" w:cs="Times New Roman"/>
      <w:b/>
      <w:i w:val="0"/>
      <w:color w:val="000000"/>
      <w:sz w:val="28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 w:beforeLines="50" w:afterLines="0" w:line="360" w:lineRule="auto"/>
      <w:outlineLvl w:val="2"/>
      <w:jc w:val="left"/>
    </w:pPr>
    <w:rPr>
      <w:rFonts w:cstheme="majorBidi" w:eastAsiaTheme="majorEastAsia" w:ascii="Times New Roman" w:hAnsi="Times New Roman" w:eastAsia="宋体" w:cs="Times New Roman"/>
      <w:b/>
      <w:i w:val="0"/>
      <w:color w:val="000000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 w:beforeLines="50" w:afterLines="0" w:line="360" w:lineRule="auto"/>
      <w:outlineLvl w:val="3"/>
      <w:jc w:val="left"/>
    </w:pPr>
    <w:rPr>
      <w:rFonts w:cstheme="majorBidi" w:eastAsiaTheme="majorEastAsia" w:ascii="Times New Roman" w:hAnsi="Times New Roman" w:eastAsia="宋体" w:cs="Times New Roman"/>
      <w:b/>
      <w:i w:val="0"/>
      <w:iCs/>
      <w:color w:val="000000"/>
      <w:sz w:val="28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 w:eastAsia="宋体" w:cs="Consolas"/>
      <w:i w:val="0"/>
      <w:color w:val="000000"/>
      <w:sz w:val="21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rFonts w:ascii="Times New Roman" w:hAnsi="Times New Roman" w:eastAsia="宋体" w:cs="Times New Roman"/>
      <w:i w:val="0"/>
      <w:color w:val="000000"/>
      <w:u w:val="single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  <w:spacing w:beforeLines="25" w:afterLines="25" w:line="240" w:lineRule="auto"/>
      <w:jc w:val="left"/>
    </w:pPr>
    <w:rPr>
      <w:rFonts w:ascii="Consolas" w:hAnsi="Consolas" w:eastAsia="宋体" w:cs="Consolas"/>
      <w:i w:val="0"/>
      <w:color w:val="000000"/>
      <w:sz w:val="21"/>
    </w:r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numbering" Target="numbering.xml"/><Relationship Id="rId7" Type="http://schemas.openxmlformats.org/officeDocument/2006/relationships/styles" Target="styles.xml"/><Relationship Id="rId6" Type="http://schemas.openxmlformats.org/officeDocument/2006/relationships/settings" Target="settings.xml"/><Relationship Id="rId5" Type="http://schemas.openxmlformats.org/officeDocument/2006/relationships/webSettings" Target="webSettings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footnotes" Target="footnotes.xml"/><Relationship Id="rId1" Type="http://schemas.openxmlformats.org/officeDocument/2006/relationships/comments" Target="commen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2026-10-10T21:29:38Z</dcterms:created>
  <dcterms:modified xsi:type="dcterms:W3CDTF">2026-10-10T21:29:38Z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