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期中数学测验成绩分析报告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期中数学测验成绩分析报告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AI技术赋能中职课程教学资源开发与应用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节演示产物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1/3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脱敏模拟数据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五件套提示词生成</w:t>
      </w:r>
    </w:p>
    <w:bookmarkStart w:id="9" w:name="一数据概况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一、数据概况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班级人数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人（编号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01-40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号，已脱敏）；试卷满分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分；全班平均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41.5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分，最高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分，最低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分。</w:t>
      </w:r>
    </w:p>
    <w:bookmarkEnd w:id="9"/>
    <w:bookmarkStart w:id="10" w:name="二各题得分率排名由高到低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二、各题得分率排名（由高到低）</w:t>
      </w:r>
    </w:p>
    <w:tbl>
      <w:tblPr>
        <w:tblStyle w:val="Table"/>
        <w:tblW w:type="dxa" w:w="8306"/>
        <w:jc w:val="center"/>
        <w:tblLook w:firstRow="1" w:lastRow="0" w:firstColumn="0" w:lastColumn="0" w:noHBand="0" w:noVBand="0" w:val="002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61"/>
        <w:gridCol w:w="1661"/>
        <w:gridCol w:w="1661"/>
        <w:gridCol w:w="1661"/>
        <w:gridCol w:w="1662"/>
      </w:tblGrid>
      <w:tr>
        <w:trPr>
          <w:tblHeader w:val="on"/>
        </w:trPr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排名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题目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满分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平均分</w:t>
            </w:r>
          </w:p>
        </w:tc>
        <w:tc>
          <w:tcPr>
            <w:tcW w:type="dxa" w:w="1662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得分率</w:t>
            </w:r>
          </w:p>
        </w:tc>
      </w:tr>
      <w:tr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1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选择题1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5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4.8</w:t>
            </w:r>
          </w:p>
        </w:tc>
        <w:tc>
          <w:tcPr>
            <w:tcW w:type="dxa" w:w="1662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96%</w:t>
            </w:r>
          </w:p>
        </w:tc>
      </w:tr>
      <w:tr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2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选择题2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5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4.8</w:t>
            </w:r>
          </w:p>
        </w:tc>
        <w:tc>
          <w:tcPr>
            <w:tcW w:type="dxa" w:w="1662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95%</w:t>
            </w:r>
          </w:p>
        </w:tc>
      </w:tr>
      <w:tr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3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填空题1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4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3.8</w:t>
            </w:r>
          </w:p>
        </w:tc>
        <w:tc>
          <w:tcPr>
            <w:tcW w:type="dxa" w:w="1662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95%</w:t>
            </w:r>
          </w:p>
        </w:tc>
      </w:tr>
      <w:tr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4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选择题3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5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4.7</w:t>
            </w:r>
          </w:p>
        </w:tc>
        <w:tc>
          <w:tcPr>
            <w:tcW w:type="dxa" w:w="1662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94%</w:t>
            </w:r>
          </w:p>
        </w:tc>
      </w:tr>
      <w:tr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5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选择题4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5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4.6</w:t>
            </w:r>
          </w:p>
        </w:tc>
        <w:tc>
          <w:tcPr>
            <w:tcW w:type="dxa" w:w="1662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92%</w:t>
            </w:r>
          </w:p>
        </w:tc>
      </w:tr>
      <w:tr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6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填空题2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4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3.5</w:t>
            </w:r>
          </w:p>
        </w:tc>
        <w:tc>
          <w:tcPr>
            <w:tcW w:type="dxa" w:w="1662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88%</w:t>
            </w:r>
          </w:p>
        </w:tc>
      </w:tr>
      <w:tr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7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解答题1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10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6.8</w:t>
            </w:r>
          </w:p>
        </w:tc>
        <w:tc>
          <w:tcPr>
            <w:tcW w:type="dxa" w:w="1662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68%</w:t>
            </w:r>
          </w:p>
        </w:tc>
      </w:tr>
      <w:tr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8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解答题2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8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4.9</w:t>
            </w:r>
          </w:p>
        </w:tc>
        <w:tc>
          <w:tcPr>
            <w:tcW w:type="dxa" w:w="1662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62%</w:t>
            </w:r>
          </w:p>
        </w:tc>
      </w:tr>
      <w:tr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9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解答题3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6</w:t>
            </w:r>
          </w:p>
        </w:tc>
        <w:tc>
          <w:tcPr>
            <w:tcW w:type="dxa" w:w="1661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3.6</w:t>
            </w:r>
          </w:p>
        </w:tc>
        <w:tc>
          <w:tcPr>
            <w:tcW w:type="dxa" w:w="1662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60%</w:t>
            </w:r>
          </w:p>
        </w:tc>
      </w:tr>
    </w:tbl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得分率断层清晰：客观题（选择+填空）全部在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88%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以上，解答题全部在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70%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以下，且随题号递进递减。</w:t>
      </w:r>
    </w:p>
    <w:bookmarkEnd w:id="10"/>
    <w:bookmarkStart w:id="11" w:name="三总分分布607590-分档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三、总分分布（60/75/90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分档）</w:t>
      </w:r>
    </w:p>
    <w:tbl>
      <w:tblPr>
        <w:tblStyle w:val="Table"/>
        <w:tblW w:type="dxa" w:w="8306"/>
        <w:jc w:val="center"/>
        <w:tblLook w:firstRow="1" w:lastRow="0" w:firstColumn="0" w:lastColumn="0" w:noHBand="0" w:noVBand="0" w:val="002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768"/>
        <w:gridCol w:w="2768"/>
        <w:gridCol w:w="2770"/>
      </w:tblGrid>
      <w:tr>
        <w:trPr>
          <w:tblHeader w:val="on"/>
        </w:trPr>
        <w:tc>
          <w:tcPr>
            <w:tcW w:type="dxa" w:w="2768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分档</w:t>
            </w:r>
          </w:p>
        </w:tc>
        <w:tc>
          <w:tcPr>
            <w:tcW w:type="dxa" w:w="2768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人数</w:t>
            </w:r>
          </w:p>
        </w:tc>
        <w:tc>
          <w:tcPr>
            <w:tcW w:type="dxa" w:w="2770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占比</w:t>
            </w:r>
          </w:p>
        </w:tc>
      </w:tr>
      <w:tr>
        <w:tc>
          <w:tcPr>
            <w:tcW w:type="dxa" w:w="276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不及格（&lt;60%，即</w:t>
            </w: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 &lt;31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分档内无·按百分制折算</w:t>
            </w: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 &lt;31.2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分）</w:t>
            </w:r>
          </w:p>
        </w:tc>
        <w:tc>
          <w:tcPr>
            <w:tcW w:type="dxa" w:w="276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3</w:t>
            </w:r>
          </w:p>
        </w:tc>
        <w:tc>
          <w:tcPr>
            <w:tcW w:type="dxa" w:w="2770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7.5%</w:t>
            </w:r>
          </w:p>
        </w:tc>
      </w:tr>
      <w:tr>
        <w:tc>
          <w:tcPr>
            <w:tcW w:type="dxa" w:w="276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60-75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分档（31.2-39</w:t>
            </w: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分）</w:t>
            </w:r>
          </w:p>
        </w:tc>
        <w:tc>
          <w:tcPr>
            <w:tcW w:type="dxa" w:w="276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9</w:t>
            </w:r>
          </w:p>
        </w:tc>
        <w:tc>
          <w:tcPr>
            <w:tcW w:type="dxa" w:w="2770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22.5%</w:t>
            </w:r>
          </w:p>
        </w:tc>
      </w:tr>
      <w:tr>
        <w:tc>
          <w:tcPr>
            <w:tcW w:type="dxa" w:w="276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75-90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分档（39-46.8</w:t>
            </w: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分）</w:t>
            </w:r>
          </w:p>
        </w:tc>
        <w:tc>
          <w:tcPr>
            <w:tcW w:type="dxa" w:w="276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18</w:t>
            </w:r>
          </w:p>
        </w:tc>
        <w:tc>
          <w:tcPr>
            <w:tcW w:type="dxa" w:w="2770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45.0%</w:t>
            </w:r>
          </w:p>
        </w:tc>
      </w:tr>
      <w:tr>
        <w:tc>
          <w:tcPr>
            <w:tcW w:type="dxa" w:w="276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≥90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分档（≥46.8</w:t>
            </w: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分）</w:t>
            </w:r>
          </w:p>
        </w:tc>
        <w:tc>
          <w:tcPr>
            <w:tcW w:type="dxa" w:w="276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10</w:t>
            </w:r>
          </w:p>
        </w:tc>
        <w:tc>
          <w:tcPr>
            <w:tcW w:type="dxa" w:w="2770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25.0%</w:t>
            </w:r>
          </w:p>
        </w:tc>
      </w:tr>
    </w:tbl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分布形态：单峰右偏的”中间大、两头小”，主体集中在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75-90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档（45%）——班级整体基础尚可，但优秀率（25%）与及格边缘（7.5%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不及格）两端都有空间。</w:t>
      </w:r>
    </w:p>
    <w:bookmarkEnd w:id="11"/>
    <w:bookmarkStart w:id="12" w:name="四异常点解答题得分率异常低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四、异常点：解答题得分率异常低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客观题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92-96% vs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解答题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60-68%，落差超过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个百分点，且解答题内部逐题递减（68%→62%→60%）。这说明：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不是”没学懂”——概念性知识（选择、填空所测）掌握牢固。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是”写不出完整过程”——解答题要求书写解题步骤，学生卡在步骤表达与综合应用环节。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递减规律提示：题目越综合，失分越重，问题集中在”多步骤组织能力”。</w:t>
      </w:r>
    </w:p>
    <w:bookmarkEnd w:id="12"/>
    <w:bookmarkStart w:id="13" w:name="五柱状图总分分布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五、柱状图（总分分布）</w:t>
      </w:r>
    </w:p>
    <w:p>
      <w:pPr>
        <w:pStyle w:val="SourceCode"/>
        <w:jc w:val="left"/>
        <w:spacing w:beforeLines="25" w:afterLines="25" w:line="240" w:lineRule="auto" w:before="60" w:after="60"/>
      </w:pPr>
      <w:r>
        <w:rPr>
          <w:rFonts w:ascii="Consolas" w:hAnsi="Consolas" w:eastAsia="宋体" w:cs="Consolas"/>
          <w:rStyle w:val="VerbatimChar"/>
          <w:i w:val="0"/>
          <w:color w:val="000000"/>
          <w:sz w:val="21"/>
        </w:rPr>
        <w:t xml:space="preserve">≥90 </w:t>
      </w:r>
      <w:r>
        <w:rPr>
          <w:rStyle w:val="VerbatimChar"/>
          <w:rFonts w:hint="eastAsia" w:ascii="Consolas" w:hAnsi="Consolas" w:eastAsia="宋体" w:cs="Consolas"/>
          <w:i w:val="0"/>
          <w:color w:val="000000"/>
          <w:sz w:val="21"/>
        </w:rPr>
        <w:t xml:space="preserve">分档</w:t>
      </w:r>
      <w:r>
        <w:rPr>
          <w:rFonts w:ascii="Consolas" w:hAnsi="Consolas" w:eastAsia="宋体" w:cs="Consolas"/>
          <w:rStyle w:val="VerbatimChar"/>
          <w:i w:val="0"/>
          <w:color w:val="000000"/>
          <w:sz w:val="21"/>
        </w:rPr>
        <w:t xml:space="preserve"> ██████████████████████ 10 </w:t>
      </w:r>
      <w:r>
        <w:rPr>
          <w:rStyle w:val="VerbatimChar"/>
          <w:rFonts w:hint="eastAsia" w:ascii="Consolas" w:hAnsi="Consolas" w:eastAsia="宋体" w:cs="Consolas"/>
          <w:i w:val="0"/>
          <w:color w:val="000000"/>
          <w:sz w:val="21"/>
        </w:rPr>
        <w:t xml:space="preserve">人</w:t>
      </w:r>
      <w:r>
        <w:rPr>
          <w:rFonts w:ascii="Consolas" w:hAnsi="Consolas" w:eastAsia="宋体" w:cs="Consolas"/>
          <w:i w:val="0"/>
          <w:color w:val="000000"/>
          <w:sz w:val="21"/>
        </w:rPr>
        <w:br/>
      </w:r>
      <w:r>
        <w:rPr>
          <w:rFonts w:ascii="Consolas" w:hAnsi="Consolas" w:eastAsia="宋体" w:cs="Consolas"/>
          <w:rStyle w:val="VerbatimChar"/>
          <w:i w:val="0"/>
          <w:color w:val="000000"/>
          <w:sz w:val="21"/>
        </w:rPr>
        <w:t xml:space="preserve">75-90 </w:t>
      </w:r>
      <w:r>
        <w:rPr>
          <w:rStyle w:val="VerbatimChar"/>
          <w:rFonts w:hint="eastAsia" w:ascii="Consolas" w:hAnsi="Consolas" w:eastAsia="宋体" w:cs="Consolas"/>
          <w:i w:val="0"/>
          <w:color w:val="000000"/>
          <w:sz w:val="21"/>
        </w:rPr>
        <w:t xml:space="preserve">分档</w:t>
      </w:r>
      <w:r>
        <w:rPr>
          <w:rFonts w:ascii="Consolas" w:hAnsi="Consolas" w:eastAsia="宋体" w:cs="Consolas"/>
          <w:rStyle w:val="VerbatimChar"/>
          <w:i w:val="0"/>
          <w:color w:val="000000"/>
          <w:sz w:val="21"/>
        </w:rPr>
        <w:t xml:space="preserve"> ████████████████████████████████████████ 18 </w:t>
      </w:r>
      <w:r>
        <w:rPr>
          <w:rStyle w:val="VerbatimChar"/>
          <w:rFonts w:hint="eastAsia" w:ascii="Consolas" w:hAnsi="Consolas" w:eastAsia="宋体" w:cs="Consolas"/>
          <w:i w:val="0"/>
          <w:color w:val="000000"/>
          <w:sz w:val="21"/>
        </w:rPr>
        <w:t xml:space="preserve">人</w:t>
      </w:r>
      <w:r>
        <w:rPr>
          <w:rFonts w:ascii="Consolas" w:hAnsi="Consolas" w:eastAsia="宋体" w:cs="Consolas"/>
          <w:i w:val="0"/>
          <w:color w:val="000000"/>
          <w:sz w:val="21"/>
        </w:rPr>
        <w:br/>
      </w:r>
      <w:r>
        <w:rPr>
          <w:rFonts w:ascii="Consolas" w:hAnsi="Consolas" w:eastAsia="宋体" w:cs="Consolas"/>
          <w:rStyle w:val="VerbatimChar"/>
          <w:i w:val="0"/>
          <w:color w:val="000000"/>
          <w:sz w:val="21"/>
        </w:rPr>
        <w:t xml:space="preserve">60-75 </w:t>
      </w:r>
      <w:r>
        <w:rPr>
          <w:rStyle w:val="VerbatimChar"/>
          <w:rFonts w:hint="eastAsia" w:ascii="Consolas" w:hAnsi="Consolas" w:eastAsia="宋体" w:cs="Consolas"/>
          <w:i w:val="0"/>
          <w:color w:val="000000"/>
          <w:sz w:val="21"/>
        </w:rPr>
        <w:t xml:space="preserve">分档</w:t>
      </w:r>
      <w:r>
        <w:rPr>
          <w:rFonts w:ascii="Consolas" w:hAnsi="Consolas" w:eastAsia="宋体" w:cs="Consolas"/>
          <w:rStyle w:val="VerbatimChar"/>
          <w:i w:val="0"/>
          <w:color w:val="000000"/>
          <w:sz w:val="21"/>
        </w:rPr>
        <w:t xml:space="preserve"> ████████████████████ 9 </w:t>
      </w:r>
      <w:r>
        <w:rPr>
          <w:rStyle w:val="VerbatimChar"/>
          <w:rFonts w:hint="eastAsia" w:ascii="Consolas" w:hAnsi="Consolas" w:eastAsia="宋体" w:cs="Consolas"/>
          <w:i w:val="0"/>
          <w:color w:val="000000"/>
          <w:sz w:val="21"/>
        </w:rPr>
        <w:t xml:space="preserve">人</w:t>
      </w:r>
      <w:r>
        <w:rPr>
          <w:rFonts w:ascii="Consolas" w:hAnsi="Consolas" w:eastAsia="宋体" w:cs="Consolas"/>
          <w:i w:val="0"/>
          <w:color w:val="000000"/>
          <w:sz w:val="21"/>
        </w:rPr>
        <w:br/>
      </w:r>
      <w:r>
        <w:rPr>
          <w:rFonts w:ascii="Consolas" w:hAnsi="Consolas" w:eastAsia="宋体" w:cs="Consolas"/>
          <w:rStyle w:val="VerbatimChar"/>
          <w:i w:val="0"/>
          <w:color w:val="000000"/>
          <w:sz w:val="21"/>
        </w:rPr>
        <w:t xml:space="preserve">&lt;60 </w:t>
      </w:r>
      <w:r>
        <w:rPr>
          <w:rStyle w:val="VerbatimChar"/>
          <w:rFonts w:hint="eastAsia" w:ascii="Consolas" w:hAnsi="Consolas" w:eastAsia="宋体" w:cs="Consolas"/>
          <w:i w:val="0"/>
          <w:color w:val="000000"/>
          <w:sz w:val="21"/>
        </w:rPr>
        <w:t xml:space="preserve">分档</w:t>
      </w:r>
      <w:r>
        <w:rPr>
          <w:rFonts w:ascii="Consolas" w:hAnsi="Consolas" w:eastAsia="宋体" w:cs="Consolas"/>
          <w:rStyle w:val="VerbatimChar"/>
          <w:i w:val="0"/>
          <w:color w:val="000000"/>
          <w:sz w:val="21"/>
        </w:rPr>
        <w:t xml:space="preserve">  ██████ 3 </w:t>
      </w:r>
      <w:r>
        <w:rPr>
          <w:rStyle w:val="VerbatimChar"/>
          <w:rFonts w:hint="eastAsia" w:ascii="Consolas" w:hAnsi="Consolas" w:eastAsia="宋体" w:cs="Consolas"/>
          <w:i w:val="0"/>
          <w:color w:val="000000"/>
          <w:sz w:val="21"/>
        </w:rPr>
        <w:t xml:space="preserve">人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（现场演示版为标准柱状图，本讲义版用字符图示意；讲台上用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生成图形版）</w:t>
      </w:r>
    </w:p>
    <w:bookmarkEnd w:id="13"/>
    <w:bookmarkStart w:id="14" w:name="六三条教学改进建议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六、三条教学改进建议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下周安排一次”解答题步骤书写”专题课：用解答题1（得分率最高的解答题）做范本，先给步骤框架再补内容，训练过程表达。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分层练习靶向”综合应用”：对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75-90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档的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18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名主力学生推送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B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层变式训练，对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名优秀学生推送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C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层综合题（配套资源见演示产物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2/3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分层练习）。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对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名不及格学生（31-33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分）：排查选择题失分点——他们客观题也有失分，属概念漏洞而非表达问题，需先补概念再练表达。</w:t>
      </w:r>
    </w:p>
    <w:bookmarkEnd w:id="14"/>
    <w:bookmarkStart w:id="15" w:name="七数据说明与合规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七、数据说明与合规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本数据为教学演示用模拟数据（预设”解答题得分率异常低”特征），非真实学生成绩。真实使用时：先脱敏（姓名→编号），上传前删除一切可识别信息。数据文件：模拟成绩单-40人.csv（随资源包提供）。</w:t>
      </w:r>
    </w:p>
    <w:bookmarkEnd w:id="15"/>
    <w:bookmarkEnd w:id="16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2026-10-10T21:29:38Z</dcterms:created>
  <dcterms:modified xsi:type="dcterms:W3CDTF">2026-10-10T21:29:38Z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